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25 – Establish Software Ownership and Categorization</w:t>
      </w:r>
    </w:p>
    <w:p>
      <w:r>
        <w:t>☐ Navigate to Inventory &gt; Software in Freshservice.</w:t>
      </w:r>
    </w:p>
    <w:p>
      <w:r>
        <w:t>☐ For each software entry, populate the 'Business Owner' custom field.</w:t>
      </w:r>
    </w:p>
    <w:p>
      <w:r>
        <w:t>☐ Assign each software to a relevant category (e.g., Communication, Finance, Security).</w:t>
      </w:r>
    </w:p>
    <w:p>
      <w:r>
        <w:t>☐ Link the software to its associated Contract if available.</w:t>
      </w:r>
    </w:p>
    <w:p>
      <w:r>
        <w:t>☐ Create Saved Views by category to organize and monitor software usage.</w:t>
      </w:r>
    </w:p>
    <w:p>
      <w:r>
        <w:t>☐ Schedule quarterly reviews with each owner to assess license usage and renewals.</w:t>
      </w:r>
    </w:p>
    <w:p>
      <w:r>
        <w:t>☐ Document category ownership and review status in a shared governance tracker.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